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A7" w:rsidRDefault="00D542A7">
      <w:pPr>
        <w:pStyle w:val="BodyText"/>
        <w:spacing w:before="5"/>
        <w:rPr>
          <w:sz w:val="19"/>
        </w:rPr>
      </w:pPr>
    </w:p>
    <w:p w:rsidR="00D542A7" w:rsidRDefault="00EF230F">
      <w:pPr>
        <w:pStyle w:val="Heading1"/>
        <w:spacing w:before="85"/>
        <w:ind w:left="1"/>
      </w:pPr>
      <w:r>
        <w:t>EDU406 Assignment 1 Solution Spring 2021</w:t>
      </w:r>
    </w:p>
    <w:p w:rsidR="00D542A7" w:rsidRDefault="00EF230F">
      <w:pPr>
        <w:spacing w:before="193" w:line="352" w:lineRule="auto"/>
        <w:ind w:left="3640" w:right="3634"/>
        <w:jc w:val="center"/>
        <w:rPr>
          <w:b/>
          <w:sz w:val="36"/>
        </w:rPr>
      </w:pPr>
      <w:r>
        <w:rPr>
          <w:b/>
          <w:sz w:val="36"/>
        </w:rPr>
        <w:t>Question NO 1 Solution</w:t>
      </w:r>
    </w:p>
    <w:p w:rsidR="00D542A7" w:rsidRDefault="00EF230F">
      <w:pPr>
        <w:pStyle w:val="Heading2"/>
        <w:numPr>
          <w:ilvl w:val="0"/>
          <w:numId w:val="1"/>
        </w:numPr>
        <w:tabs>
          <w:tab w:val="left" w:pos="341"/>
        </w:tabs>
        <w:spacing w:line="268" w:lineRule="exact"/>
        <w:ind w:hanging="241"/>
      </w:pPr>
      <w:r>
        <w:t>High Tech Approach to</w:t>
      </w:r>
      <w:r>
        <w:rPr>
          <w:spacing w:val="-3"/>
        </w:rPr>
        <w:t xml:space="preserve"> </w:t>
      </w:r>
      <w:r>
        <w:t>Learning</w:t>
      </w:r>
    </w:p>
    <w:p w:rsidR="00D542A7" w:rsidRDefault="00D542A7">
      <w:pPr>
        <w:pStyle w:val="BodyText"/>
        <w:spacing w:before="1"/>
        <w:rPr>
          <w:b/>
          <w:sz w:val="26"/>
        </w:rPr>
      </w:pPr>
    </w:p>
    <w:p w:rsidR="00D542A7" w:rsidRDefault="00EF230F">
      <w:pPr>
        <w:pStyle w:val="BodyText"/>
        <w:spacing w:line="360" w:lineRule="auto"/>
        <w:ind w:left="100" w:right="49"/>
      </w:pPr>
      <w:r>
        <w:t>Advancements in technology have propelled the education sector in the last few decades. As the name suggests, the high-tech approach to learning utilizes different technology to aid students in their classroom learning. Many educators use computers and tab</w:t>
      </w:r>
      <w:r>
        <w:t>lets in the classroom, and others may use the internet to assign homework. The internet is also beneficial in a classroom setting as it provides unlimited resources. Teachers may also use the Internet in order to connect their students with people from aro</w:t>
      </w:r>
      <w:r>
        <w:t>und the world.</w:t>
      </w:r>
    </w:p>
    <w:p w:rsidR="00D542A7" w:rsidRDefault="00EF230F">
      <w:pPr>
        <w:pStyle w:val="Heading2"/>
        <w:spacing w:before="159"/>
        <w:ind w:left="100" w:firstLine="0"/>
      </w:pPr>
      <w:r>
        <w:t>Below are some tech tools used in classrooms today:</w:t>
      </w:r>
    </w:p>
    <w:p w:rsidR="00D542A7" w:rsidRDefault="00D542A7">
      <w:pPr>
        <w:pStyle w:val="BodyText"/>
        <w:spacing w:before="10"/>
        <w:rPr>
          <w:b/>
          <w:sz w:val="25"/>
        </w:rPr>
      </w:pPr>
    </w:p>
    <w:p w:rsidR="00D542A7" w:rsidRDefault="00EF230F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G Suite (email, Docs, Sheets, Classroom, Drive, and</w:t>
      </w:r>
      <w:r>
        <w:rPr>
          <w:spacing w:val="-2"/>
          <w:sz w:val="24"/>
        </w:rPr>
        <w:t xml:space="preserve"> </w:t>
      </w:r>
      <w:r>
        <w:rPr>
          <w:sz w:val="24"/>
        </w:rPr>
        <w:t>Calendar)</w:t>
      </w:r>
    </w:p>
    <w:p w:rsidR="00D542A7" w:rsidRDefault="00EF230F">
      <w:pPr>
        <w:pStyle w:val="ListParagraph"/>
        <w:numPr>
          <w:ilvl w:val="1"/>
          <w:numId w:val="1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Tablets/laptops</w:t>
      </w:r>
    </w:p>
    <w:p w:rsidR="00D542A7" w:rsidRDefault="00D542A7">
      <w:pPr>
        <w:pStyle w:val="BodyText"/>
        <w:rPr>
          <w:sz w:val="26"/>
        </w:rPr>
      </w:pPr>
    </w:p>
    <w:p w:rsidR="00D542A7" w:rsidRDefault="00D542A7">
      <w:pPr>
        <w:pStyle w:val="BodyText"/>
        <w:spacing w:before="10"/>
        <w:rPr>
          <w:sz w:val="35"/>
        </w:rPr>
      </w:pPr>
    </w:p>
    <w:p w:rsidR="00D542A7" w:rsidRDefault="00EF230F">
      <w:pPr>
        <w:pStyle w:val="Heading2"/>
        <w:numPr>
          <w:ilvl w:val="0"/>
          <w:numId w:val="1"/>
        </w:numPr>
        <w:tabs>
          <w:tab w:val="left" w:pos="341"/>
        </w:tabs>
        <w:ind w:hanging="241"/>
      </w:pPr>
      <w:r>
        <w:t>Low Tech Approach to</w:t>
      </w:r>
      <w:r>
        <w:rPr>
          <w:spacing w:val="-1"/>
        </w:rPr>
        <w:t xml:space="preserve"> </w:t>
      </w:r>
      <w:r>
        <w:t>Learning</w:t>
      </w:r>
    </w:p>
    <w:p w:rsidR="00D542A7" w:rsidRDefault="00D542A7">
      <w:pPr>
        <w:pStyle w:val="BodyText"/>
        <w:spacing w:before="1"/>
        <w:rPr>
          <w:b/>
          <w:sz w:val="26"/>
        </w:rPr>
      </w:pPr>
    </w:p>
    <w:p w:rsidR="00D542A7" w:rsidRDefault="00EF230F">
      <w:pPr>
        <w:pStyle w:val="BodyText"/>
        <w:spacing w:line="360" w:lineRule="auto"/>
        <w:ind w:left="100" w:right="140"/>
      </w:pPr>
      <w:r>
        <w:t>While technology undoubtedly has changed education, many educators opt to use a more traditional, low-tech approach to learning. Some learning styles require a physical presence and interaction between the educator and the student. Additionally, some resea</w:t>
      </w:r>
      <w:r>
        <w:t>rch has shown that low-tech classrooms may boost learning. For example, students who take handwritten notes have better recall than students who take typed notes</w:t>
      </w:r>
    </w:p>
    <w:p w:rsidR="00D542A7" w:rsidRDefault="00EF230F">
      <w:pPr>
        <w:pStyle w:val="ListParagraph"/>
        <w:numPr>
          <w:ilvl w:val="1"/>
          <w:numId w:val="1"/>
        </w:numPr>
        <w:tabs>
          <w:tab w:val="left" w:pos="821"/>
        </w:tabs>
        <w:spacing w:before="160" w:line="360" w:lineRule="auto"/>
        <w:ind w:right="515"/>
        <w:rPr>
          <w:sz w:val="24"/>
        </w:rPr>
      </w:pPr>
      <w:r>
        <w:rPr>
          <w:sz w:val="24"/>
        </w:rPr>
        <w:t>Kinesthetic learners have a need for movement when learning. Teachers should</w:t>
      </w:r>
      <w:r>
        <w:rPr>
          <w:spacing w:val="-9"/>
          <w:sz w:val="24"/>
        </w:rPr>
        <w:t xml:space="preserve"> </w:t>
      </w:r>
      <w:r>
        <w:rPr>
          <w:sz w:val="24"/>
        </w:rPr>
        <w:t>allow students to</w:t>
      </w:r>
      <w:r>
        <w:rPr>
          <w:sz w:val="24"/>
        </w:rPr>
        <w:t xml:space="preserve"> move around, speak with hands and</w:t>
      </w:r>
      <w:r>
        <w:rPr>
          <w:spacing w:val="-1"/>
          <w:sz w:val="24"/>
        </w:rPr>
        <w:t xml:space="preserve"> </w:t>
      </w:r>
      <w:r>
        <w:rPr>
          <w:sz w:val="24"/>
        </w:rPr>
        <w:t>gestures.'</w:t>
      </w:r>
    </w:p>
    <w:p w:rsidR="00D542A7" w:rsidRDefault="00EF230F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221"/>
        <w:rPr>
          <w:sz w:val="24"/>
        </w:rPr>
      </w:pPr>
      <w:r>
        <w:rPr>
          <w:sz w:val="24"/>
        </w:rPr>
        <w:t>Expeditionary learning involves "learning by doing" and participating in a hands-on experience. Students may participate in fieldwork, learning expeditions, projects, or</w:t>
      </w:r>
      <w:r>
        <w:rPr>
          <w:spacing w:val="-11"/>
          <w:sz w:val="24"/>
        </w:rPr>
        <w:t xml:space="preserve"> </w:t>
      </w:r>
      <w:r>
        <w:rPr>
          <w:sz w:val="24"/>
        </w:rPr>
        <w:t>case studies to be able to apply knowled</w:t>
      </w:r>
      <w:r>
        <w:rPr>
          <w:sz w:val="24"/>
        </w:rPr>
        <w:t>ge learned in the classroom to the real world, rather than learning through the virtual world.</w:t>
      </w:r>
    </w:p>
    <w:p w:rsidR="00D542A7" w:rsidRDefault="00EF230F">
      <w:pPr>
        <w:pStyle w:val="Heading2"/>
        <w:ind w:left="1689" w:firstLine="0"/>
      </w:pPr>
      <w:r>
        <w:t>I think Low Tech Approach to Learning is best for teaching.</w:t>
      </w:r>
    </w:p>
    <w:p w:rsidR="00D542A7" w:rsidRDefault="00D542A7">
      <w:pPr>
        <w:sectPr w:rsidR="00D542A7" w:rsidSect="00030A06">
          <w:headerReference w:type="default" r:id="rId7"/>
          <w:footerReference w:type="default" r:id="rId8"/>
          <w:type w:val="continuous"/>
          <w:pgSz w:w="12240" w:h="15840"/>
          <w:pgMar w:top="1120" w:right="1340" w:bottom="1100" w:left="1340" w:header="735" w:footer="915" w:gutter="0"/>
          <w:cols w:space="720"/>
        </w:sectPr>
      </w:pPr>
    </w:p>
    <w:p w:rsidR="00D542A7" w:rsidRDefault="00D542A7">
      <w:pPr>
        <w:pStyle w:val="BodyText"/>
        <w:spacing w:before="5"/>
        <w:rPr>
          <w:b/>
          <w:sz w:val="19"/>
        </w:rPr>
      </w:pPr>
    </w:p>
    <w:p w:rsidR="00D542A7" w:rsidRDefault="00EF230F">
      <w:pPr>
        <w:spacing w:before="85" w:line="352" w:lineRule="auto"/>
        <w:ind w:left="3640" w:right="3634"/>
        <w:jc w:val="center"/>
        <w:rPr>
          <w:b/>
          <w:sz w:val="36"/>
        </w:rPr>
      </w:pPr>
      <w:r>
        <w:rPr>
          <w:b/>
          <w:sz w:val="36"/>
        </w:rPr>
        <w:t>Question NO 2 Solution</w:t>
      </w:r>
      <w:bookmarkStart w:id="0" w:name="_GoBack"/>
      <w:bookmarkEnd w:id="0"/>
    </w:p>
    <w:p w:rsidR="00D542A7" w:rsidRDefault="00EF230F">
      <w:pPr>
        <w:pStyle w:val="BodyText"/>
        <w:spacing w:line="360" w:lineRule="auto"/>
        <w:ind w:left="112" w:right="112" w:hanging="3"/>
        <w:jc w:val="center"/>
      </w:pPr>
      <w:r>
        <w:t xml:space="preserve">The key problem of the current study can be worded as the question: what are the changes that occur in novice teachers' development during the first year of work? The data sources include novice teachers' and their mentors' responses to the questionnaires </w:t>
      </w:r>
      <w:r>
        <w:t>focusing on changes in teacher competencies and self-efficacy beliefs during the induction year. The teaching skills of the novice teachers grew during their first year at work and their assessments were reasonably adequate. Self-efficacy grows through pos</w:t>
      </w:r>
      <w:r>
        <w:t>itive experiences of own classroom teaching. Novice teachers with high self-efficacy were more satisfied with their coping in the first year at work than the teachers with average and low self-efficacy. Positive first experiences and a strong</w:t>
      </w:r>
      <w:r>
        <w:rPr>
          <w:spacing w:val="-15"/>
        </w:rPr>
        <w:t xml:space="preserve"> </w:t>
      </w:r>
      <w:r>
        <w:t>sense of effi</w:t>
      </w:r>
      <w:r>
        <w:t>cacy are important from the viewpoint of the future</w:t>
      </w:r>
      <w:r>
        <w:rPr>
          <w:spacing w:val="-4"/>
        </w:rPr>
        <w:t xml:space="preserve"> </w:t>
      </w:r>
      <w:r>
        <w:t>career.</w:t>
      </w:r>
    </w:p>
    <w:p w:rsidR="00D542A7" w:rsidRDefault="00D542A7">
      <w:pPr>
        <w:pStyle w:val="BodyText"/>
        <w:rPr>
          <w:sz w:val="20"/>
        </w:rPr>
      </w:pPr>
    </w:p>
    <w:p w:rsidR="00D542A7" w:rsidRDefault="00D542A7">
      <w:pPr>
        <w:pStyle w:val="BodyText"/>
        <w:spacing w:before="7"/>
        <w:rPr>
          <w:sz w:val="25"/>
        </w:rPr>
      </w:pPr>
    </w:p>
    <w:p w:rsidR="00D542A7" w:rsidRDefault="00EF230F">
      <w:pPr>
        <w:spacing w:before="86"/>
        <w:ind w:left="2"/>
        <w:jc w:val="center"/>
        <w:rPr>
          <w:b/>
          <w:sz w:val="32"/>
        </w:rPr>
      </w:pPr>
      <w:r>
        <w:rPr>
          <w:spacing w:val="-80"/>
          <w:w w:val="99"/>
          <w:sz w:val="32"/>
          <w:shd w:val="clear" w:color="auto" w:fill="FFFF00"/>
        </w:rPr>
        <w:t xml:space="preserve"> </w:t>
      </w:r>
      <w:r>
        <w:rPr>
          <w:b/>
          <w:sz w:val="32"/>
          <w:shd w:val="clear" w:color="auto" w:fill="FFFF00"/>
        </w:rPr>
        <w:t>Don’t Copy</w:t>
      </w:r>
      <w:r>
        <w:rPr>
          <w:b/>
          <w:spacing w:val="-11"/>
          <w:sz w:val="32"/>
          <w:shd w:val="clear" w:color="auto" w:fill="FFFF00"/>
        </w:rPr>
        <w:t xml:space="preserve"> </w:t>
      </w:r>
      <w:r>
        <w:rPr>
          <w:b/>
          <w:sz w:val="32"/>
          <w:shd w:val="clear" w:color="auto" w:fill="FFFF00"/>
        </w:rPr>
        <w:t>Paste</w:t>
      </w:r>
    </w:p>
    <w:p w:rsidR="00D542A7" w:rsidRDefault="00EF230F">
      <w:pPr>
        <w:spacing w:before="194"/>
        <w:ind w:left="1"/>
        <w:jc w:val="center"/>
        <w:rPr>
          <w:b/>
          <w:sz w:val="52"/>
        </w:rPr>
      </w:pPr>
      <w:r>
        <w:rPr>
          <w:b/>
          <w:sz w:val="52"/>
        </w:rPr>
        <w:t>THE</w:t>
      </w:r>
      <w:r>
        <w:rPr>
          <w:b/>
          <w:spacing w:val="1"/>
          <w:sz w:val="52"/>
        </w:rPr>
        <w:t xml:space="preserve"> </w:t>
      </w:r>
      <w:r>
        <w:rPr>
          <w:b/>
          <w:sz w:val="52"/>
        </w:rPr>
        <w:t>END</w:t>
      </w:r>
    </w:p>
    <w:sectPr w:rsidR="00D542A7" w:rsidSect="00030A06">
      <w:pgSz w:w="12240" w:h="15840"/>
      <w:pgMar w:top="1120" w:right="1340" w:bottom="1100" w:left="1340" w:header="735" w:footer="9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30F" w:rsidRDefault="00EF230F">
      <w:r>
        <w:separator/>
      </w:r>
    </w:p>
  </w:endnote>
  <w:endnote w:type="continuationSeparator" w:id="0">
    <w:p w:rsidR="00EF230F" w:rsidRDefault="00EF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2A7" w:rsidRPr="00030A06" w:rsidRDefault="00030A06" w:rsidP="00030A06">
    <w:pPr>
      <w:pStyle w:val="BodyText"/>
      <w:spacing w:before="60"/>
      <w:ind w:left="1664" w:right="1683"/>
      <w:jc w:val="center"/>
      <w:rPr>
        <w:rFonts w:ascii="Arial" w:hAnsi="Arial" w:cs="Arial"/>
        <w:i/>
        <w:color w:val="FF0000"/>
        <w:sz w:val="44"/>
        <w:szCs w:val="44"/>
      </w:rPr>
    </w:pPr>
    <w:r>
      <w:rPr>
        <w:rFonts w:ascii="Arial" w:hAnsi="Arial" w:cs="Arial"/>
        <w:i/>
        <w:color w:val="FF0000"/>
        <w:sz w:val="44"/>
        <w:szCs w:val="44"/>
      </w:rPr>
      <w:t>VuDaily.com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30F" w:rsidRDefault="00EF230F">
      <w:r>
        <w:separator/>
      </w:r>
    </w:p>
  </w:footnote>
  <w:footnote w:type="continuationSeparator" w:id="0">
    <w:p w:rsidR="00EF230F" w:rsidRDefault="00EF23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2A7" w:rsidRPr="00030A06" w:rsidRDefault="00030A06" w:rsidP="00030A06">
    <w:pPr>
      <w:pStyle w:val="BodyText"/>
      <w:spacing w:before="60"/>
      <w:ind w:left="1664" w:right="1683"/>
      <w:jc w:val="center"/>
      <w:rPr>
        <w:rFonts w:ascii="Arial" w:hAnsi="Arial" w:cs="Arial"/>
        <w:i/>
        <w:color w:val="FF0000"/>
        <w:sz w:val="44"/>
        <w:szCs w:val="44"/>
      </w:rPr>
    </w:pPr>
    <w:r>
      <w:rPr>
        <w:rFonts w:ascii="Arial" w:hAnsi="Arial" w:cs="Arial"/>
        <w:i/>
        <w:color w:val="FF0000"/>
        <w:sz w:val="44"/>
        <w:szCs w:val="44"/>
      </w:rPr>
      <w:t>VuDaily.com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213F4"/>
    <w:multiLevelType w:val="hybridMultilevel"/>
    <w:tmpl w:val="589A7E66"/>
    <w:lvl w:ilvl="0" w:tplc="923EDC50">
      <w:start w:val="1"/>
      <w:numFmt w:val="decimal"/>
      <w:lvlText w:val="%1."/>
      <w:lvlJc w:val="left"/>
      <w:pPr>
        <w:ind w:left="340" w:hanging="24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en-US" w:eastAsia="en-US" w:bidi="ar-SA"/>
      </w:rPr>
    </w:lvl>
    <w:lvl w:ilvl="1" w:tplc="929281C6">
      <w:numFmt w:val="bullet"/>
      <w:lvlText w:val="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04F0B0F2">
      <w:numFmt w:val="bullet"/>
      <w:lvlText w:val="•"/>
      <w:lvlJc w:val="left"/>
      <w:pPr>
        <w:ind w:left="1791" w:hanging="360"/>
      </w:pPr>
      <w:rPr>
        <w:rFonts w:hint="default"/>
        <w:lang w:val="en-US" w:eastAsia="en-US" w:bidi="ar-SA"/>
      </w:rPr>
    </w:lvl>
    <w:lvl w:ilvl="3" w:tplc="EADA5BBC"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4" w:tplc="BC8CD1A8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5" w:tplc="B85AF484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6" w:tplc="FEA6E198">
      <w:numFmt w:val="bullet"/>
      <w:lvlText w:val="•"/>
      <w:lvlJc w:val="left"/>
      <w:pPr>
        <w:ind w:left="5675" w:hanging="360"/>
      </w:pPr>
      <w:rPr>
        <w:rFonts w:hint="default"/>
        <w:lang w:val="en-US" w:eastAsia="en-US" w:bidi="ar-SA"/>
      </w:rPr>
    </w:lvl>
    <w:lvl w:ilvl="7" w:tplc="36A26B62">
      <w:numFmt w:val="bullet"/>
      <w:lvlText w:val="•"/>
      <w:lvlJc w:val="left"/>
      <w:pPr>
        <w:ind w:left="6646" w:hanging="360"/>
      </w:pPr>
      <w:rPr>
        <w:rFonts w:hint="default"/>
        <w:lang w:val="en-US" w:eastAsia="en-US" w:bidi="ar-SA"/>
      </w:rPr>
    </w:lvl>
    <w:lvl w:ilvl="8" w:tplc="25DA69BE">
      <w:numFmt w:val="bullet"/>
      <w:lvlText w:val="•"/>
      <w:lvlJc w:val="left"/>
      <w:pPr>
        <w:ind w:left="761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542A7"/>
    <w:rsid w:val="00030A06"/>
    <w:rsid w:val="00D542A7"/>
    <w:rsid w:val="00E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C81AD9-E909-401F-A113-4616EC4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4"/>
      <w:ind w:left="2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340" w:hanging="24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0A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A0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30A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A0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7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VuDaily.com</dc:creator>
  <cp:lastModifiedBy>CH RAHMAN</cp:lastModifiedBy>
  <cp:revision>2</cp:revision>
  <dcterms:created xsi:type="dcterms:W3CDTF">2021-05-29T08:59:00Z</dcterms:created>
  <dcterms:modified xsi:type="dcterms:W3CDTF">2021-05-29T09:09:00Z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2021-05-29T00:00:00Z</vt:filetime>
  </property>
</Properties>
</file>